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0DA0DCFC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053E0" w:rsidRPr="007053E0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F1527A">
      <w:pPr>
        <w:pStyle w:val="Nzev"/>
        <w:jc w:val="both"/>
      </w:pPr>
    </w:p>
    <w:p w14:paraId="047BCFBE" w14:textId="60C8E8E2" w:rsidR="005740C3" w:rsidRPr="004429CF" w:rsidRDefault="009A0078" w:rsidP="00F1527A">
      <w:pPr>
        <w:pStyle w:val="Nzev"/>
        <w:keepLines w:val="0"/>
        <w:widowControl w:val="0"/>
        <w:suppressAutoHyphens w:val="0"/>
        <w:jc w:val="both"/>
      </w:pPr>
      <w:r w:rsidRPr="00DC60C3">
        <w:t xml:space="preserve">Smlouva o dílo </w:t>
      </w:r>
    </w:p>
    <w:p w14:paraId="71413EB7" w14:textId="50828EE0" w:rsidR="005740C3" w:rsidRPr="00F20995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. </w:t>
      </w:r>
      <w:r w:rsidR="008945EC">
        <w:rPr>
          <w:rFonts w:ascii="Verdana" w:hAnsi="Verdana" w:cstheme="minorHAnsi"/>
          <w:highlight w:val="yellow"/>
        </w:rPr>
        <w:t>[DOPLNÍ OBJEDNATEL PŘI PODPISU SMLOUVY</w:t>
      </w:r>
      <w:r w:rsidR="008945EC" w:rsidRPr="00633D18">
        <w:rPr>
          <w:rFonts w:ascii="Verdana" w:hAnsi="Verdana" w:cstheme="minorHAnsi"/>
          <w:highlight w:val="yellow"/>
        </w:rPr>
        <w:t>]</w:t>
      </w:r>
    </w:p>
    <w:p w14:paraId="6F0FEDA9" w14:textId="3BB0015D" w:rsidR="005740C3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1CDD4F8B" w14:textId="77777777" w:rsidR="005740C3" w:rsidRPr="005740C3" w:rsidRDefault="005740C3" w:rsidP="00F1527A">
      <w:pPr>
        <w:widowControl w:val="0"/>
        <w:jc w:val="both"/>
        <w:rPr>
          <w:highlight w:val="yellow"/>
        </w:rPr>
      </w:pPr>
    </w:p>
    <w:p w14:paraId="55A13EF4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29BDF432" w:rsidR="004E1498" w:rsidRPr="004E1498" w:rsidRDefault="004E1498" w:rsidP="009264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eastAsia="Times New Roman" w:cs="Times New Roman"/>
          <w:lang w:eastAsia="cs-CZ"/>
        </w:rPr>
      </w:pPr>
      <w:r w:rsidRPr="009264E8">
        <w:rPr>
          <w:rFonts w:eastAsia="Times New Roman" w:cs="Times New Roman"/>
          <w:lang w:eastAsia="cs-CZ"/>
        </w:rPr>
        <w:t xml:space="preserve">zastoupená </w:t>
      </w:r>
      <w:r w:rsidR="009264E8" w:rsidRPr="009264E8">
        <w:rPr>
          <w:rFonts w:eastAsia="Times New Roman" w:cs="Times New Roman"/>
          <w:b/>
          <w:lang w:eastAsia="cs-CZ"/>
        </w:rPr>
        <w:t>Ing. Liborem Vavrečkou</w:t>
      </w:r>
      <w:r w:rsidR="009264E8" w:rsidRPr="009264E8"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7EFD0C0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8BE545" w14:textId="6F8F7CC4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jméno osoby/název firmy</w:t>
      </w:r>
      <w:r w:rsidR="008945EC" w:rsidRPr="00F1527A">
        <w:rPr>
          <w:rFonts w:eastAsia="Times New Roman" w:cs="Times New Roman"/>
          <w:highlight w:val="green"/>
          <w:lang w:eastAsia="cs-CZ"/>
        </w:rPr>
        <w:t xml:space="preserve"> </w:t>
      </w:r>
      <w:r w:rsidR="008945EC" w:rsidRPr="008945EC">
        <w:rPr>
          <w:rFonts w:ascii="Verdana" w:hAnsi="Verdana"/>
          <w:highlight w:val="green"/>
        </w:rPr>
        <w:t>[DOPLNÍ ZHOTOVITEL]</w:t>
      </w:r>
    </w:p>
    <w:p w14:paraId="19E73E8B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57570FFE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Sídlo:</w:t>
      </w:r>
    </w:p>
    <w:p w14:paraId="420D77A3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DEA0FB6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A1276F">
        <w:rPr>
          <w:rFonts w:eastAsia="Times New Roman" w:cs="Times New Roman"/>
          <w:b/>
          <w:lang w:eastAsia="cs-CZ"/>
        </w:rPr>
        <w:t>„</w:t>
      </w:r>
      <w:r w:rsidR="009264E8" w:rsidRPr="00A1276F">
        <w:rPr>
          <w:rFonts w:eastAsia="Times New Roman" w:cs="Times New Roman"/>
          <w:b/>
          <w:lang w:eastAsia="cs-CZ"/>
        </w:rPr>
        <w:t>Směrodatné rychlostní profily na vybraných tratích ve správě Oblastních ředitelství Praha a Hradec Králové</w:t>
      </w:r>
      <w:r w:rsidRPr="00A1276F">
        <w:rPr>
          <w:rFonts w:eastAsia="Times New Roman" w:cs="Times New Roman"/>
          <w:b/>
          <w:lang w:eastAsia="cs-CZ"/>
        </w:rPr>
        <w:t xml:space="preserve"> “</w:t>
      </w:r>
      <w:r w:rsidRPr="009264E8">
        <w:rPr>
          <w:rFonts w:eastAsia="Times New Roman" w:cs="Times New Roman"/>
          <w:lang w:eastAsia="cs-CZ"/>
        </w:rPr>
        <w:t>,</w:t>
      </w:r>
      <w:r w:rsidR="009264E8">
        <w:rPr>
          <w:rFonts w:eastAsia="Times New Roman" w:cs="Times New Roman"/>
          <w:lang w:eastAsia="cs-CZ"/>
        </w:rPr>
        <w:t xml:space="preserve"> </w:t>
      </w:r>
      <w:r w:rsidR="000D278B" w:rsidRPr="009264E8">
        <w:rPr>
          <w:rFonts w:eastAsia="Times New Roman" w:cs="Times New Roman"/>
          <w:lang w:eastAsia="cs-CZ"/>
        </w:rPr>
        <w:t>č.j.</w:t>
      </w:r>
      <w:r w:rsidR="009264E8" w:rsidRPr="009264E8">
        <w:rPr>
          <w:rFonts w:eastAsia="Times New Roman" w:cs="Times New Roman"/>
          <w:lang w:eastAsia="cs-CZ"/>
        </w:rPr>
        <w:t xml:space="preserve"> </w:t>
      </w:r>
      <w:r w:rsidR="000D278B" w:rsidRPr="009264E8">
        <w:rPr>
          <w:rFonts w:eastAsia="Times New Roman" w:cs="Times New Roman"/>
          <w:lang w:eastAsia="cs-CZ"/>
        </w:rPr>
        <w:t xml:space="preserve">veřejné zakázky </w:t>
      </w:r>
      <w:r w:rsidR="009264E8" w:rsidRPr="009264E8">
        <w:rPr>
          <w:rFonts w:eastAsia="Times New Roman" w:cs="Times New Roman"/>
          <w:lang w:eastAsia="cs-CZ"/>
        </w:rPr>
        <w:t>2960/2023-SŽ-SŽG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11E6F3F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F1527A">
      <w:pPr>
        <w:pStyle w:val="Nadpis1"/>
        <w:widowControl w:val="0"/>
        <w:suppressAutoHyphens w:val="0"/>
        <w:jc w:val="both"/>
      </w:pPr>
      <w:r w:rsidRPr="00950C1F">
        <w:t>Dílo</w:t>
      </w:r>
    </w:p>
    <w:p w14:paraId="75B8D031" w14:textId="29C9B754" w:rsidR="004E1498" w:rsidRPr="006C7697" w:rsidRDefault="004E1498" w:rsidP="00F1527A">
      <w:pPr>
        <w:pStyle w:val="Nadpis2"/>
        <w:widowControl w:val="0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FEE9CEA" w14:textId="5105660C" w:rsidR="000E0D83" w:rsidRPr="000E0D83" w:rsidRDefault="004E1498" w:rsidP="000E0D83">
      <w:pPr>
        <w:pStyle w:val="Nadpis2"/>
        <w:keepNext/>
        <w:overflowPunct/>
        <w:autoSpaceDE/>
        <w:autoSpaceDN/>
        <w:adjustRightInd/>
        <w:spacing w:before="120" w:after="120"/>
        <w:ind w:left="578" w:hanging="578"/>
        <w:contextualSpacing w:val="0"/>
        <w:jc w:val="left"/>
        <w:textAlignment w:val="auto"/>
        <w:rPr>
          <w:rFonts w:eastAsiaTheme="minorHAnsi" w:cstheme="minorBidi"/>
          <w:lang w:eastAsia="en-US"/>
        </w:rPr>
      </w:pPr>
      <w:r w:rsidRPr="004E1498">
        <w:t>Předmětem díla j</w:t>
      </w:r>
      <w:bookmarkStart w:id="0" w:name="_Toc60996212"/>
      <w:r w:rsidR="000E0D83">
        <w:t>e z</w:t>
      </w:r>
      <w:r w:rsidR="000E0D83" w:rsidRPr="000E0D83">
        <w:rPr>
          <w:rFonts w:eastAsiaTheme="minorHAnsi" w:cstheme="minorBidi"/>
          <w:lang w:eastAsia="en-US"/>
        </w:rPr>
        <w:t xml:space="preserve">pracování směrodatného rychlostního profilu pro zvýšení traťové rychlosti v rychlostních profilech </w:t>
      </w:r>
      <w:bookmarkStart w:id="1" w:name="_Hlk41556197"/>
      <w:r w:rsidR="000E0D83" w:rsidRPr="000E0D83">
        <w:rPr>
          <w:rFonts w:eastAsiaTheme="minorHAnsi" w:cstheme="minorBidi"/>
          <w:i/>
          <w:lang w:eastAsia="en-US"/>
        </w:rPr>
        <w:t>V</w:t>
      </w:r>
      <w:r w:rsidR="000E0D83" w:rsidRPr="000E0D83">
        <w:rPr>
          <w:rFonts w:eastAsiaTheme="minorHAnsi" w:cstheme="minorBidi"/>
          <w:lang w:eastAsia="en-US"/>
        </w:rPr>
        <w:t xml:space="preserve">, </w:t>
      </w:r>
      <w:r w:rsidR="000E0D83" w:rsidRPr="000E0D83">
        <w:rPr>
          <w:rFonts w:eastAsiaTheme="minorHAnsi" w:cstheme="minorBidi"/>
          <w:i/>
          <w:lang w:eastAsia="en-US"/>
        </w:rPr>
        <w:t>V</w:t>
      </w:r>
      <w:r w:rsidR="000E0D83" w:rsidRPr="000E0D83">
        <w:rPr>
          <w:rFonts w:eastAsiaTheme="minorHAnsi" w:cstheme="minorBidi"/>
          <w:vertAlign w:val="subscript"/>
          <w:lang w:eastAsia="en-US"/>
        </w:rPr>
        <w:t>130</w:t>
      </w:r>
      <w:r w:rsidR="000E0D83" w:rsidRPr="000E0D83">
        <w:rPr>
          <w:rFonts w:eastAsiaTheme="minorHAnsi" w:cstheme="minorBidi"/>
          <w:lang w:eastAsia="en-US"/>
        </w:rPr>
        <w:t xml:space="preserve"> a </w:t>
      </w:r>
      <w:r w:rsidR="000E0D83" w:rsidRPr="000E0D83">
        <w:rPr>
          <w:rFonts w:eastAsiaTheme="minorHAnsi" w:cstheme="minorBidi"/>
          <w:i/>
          <w:lang w:eastAsia="en-US"/>
        </w:rPr>
        <w:t>V</w:t>
      </w:r>
      <w:r w:rsidR="000E0D83" w:rsidRPr="000E0D83">
        <w:rPr>
          <w:rFonts w:eastAsiaTheme="minorHAnsi" w:cstheme="minorBidi"/>
          <w:vertAlign w:val="subscript"/>
          <w:lang w:eastAsia="en-US"/>
        </w:rPr>
        <w:t>150</w:t>
      </w:r>
      <w:r w:rsidR="000E0D83" w:rsidRPr="000E0D83">
        <w:rPr>
          <w:rFonts w:eastAsiaTheme="minorHAnsi" w:cstheme="minorBidi"/>
          <w:lang w:eastAsia="en-US"/>
        </w:rPr>
        <w:t xml:space="preserve"> </w:t>
      </w:r>
      <w:bookmarkEnd w:id="1"/>
      <w:r w:rsidR="000E0D83" w:rsidRPr="000E0D83">
        <w:rPr>
          <w:rFonts w:eastAsiaTheme="minorHAnsi" w:cstheme="minorBidi"/>
          <w:lang w:eastAsia="en-US"/>
        </w:rPr>
        <w:t>dle pokynu GŘ č. 16/2013 a jeho projednání s dotčenými odbory GŘ a příslušným OŘ. Vyhotovený směrodatný rychlostní profil bude dále využíván objednatelem pro následné studie, projekční práce a plánování investičních nebo opravných prací.</w:t>
      </w:r>
      <w:bookmarkEnd w:id="0"/>
    </w:p>
    <w:p w14:paraId="200691FB" w14:textId="5FB600A0" w:rsidR="000E0D83" w:rsidRPr="000E0D83" w:rsidRDefault="000E0D83" w:rsidP="000E0D83">
      <w:pPr>
        <w:spacing w:before="120" w:after="120" w:line="240" w:lineRule="auto"/>
        <w:ind w:left="567"/>
      </w:pPr>
      <w:r w:rsidRPr="000E0D83">
        <w:t xml:space="preserve">Předmětem </w:t>
      </w:r>
      <w:r>
        <w:t>díla</w:t>
      </w:r>
      <w:r w:rsidRPr="000E0D83">
        <w:t xml:space="preserve"> je rovněž sestavení grafu dynamického průběhu rychlosti a výpočet jízdních dob pro typové vozidlo a definovaná místa zastavení pro stávající/výchozí a nově navržené rychlostní profily.</w:t>
      </w:r>
    </w:p>
    <w:p w14:paraId="03F039C6" w14:textId="6442EABE" w:rsidR="004E1498" w:rsidRPr="004E1498" w:rsidRDefault="004E1498" w:rsidP="000E0D83">
      <w:pPr>
        <w:pStyle w:val="Nadpis2"/>
        <w:widowControl w:val="0"/>
        <w:numPr>
          <w:ilvl w:val="0"/>
          <w:numId w:val="0"/>
        </w:numPr>
      </w:pPr>
    </w:p>
    <w:p w14:paraId="31E5226B" w14:textId="002B8965" w:rsidR="004E1498" w:rsidRPr="000E0D83" w:rsidRDefault="004E1498" w:rsidP="00F1527A">
      <w:pPr>
        <w:pStyle w:val="Nadpis2"/>
        <w:widowControl w:val="0"/>
      </w:pPr>
      <w:r w:rsidRPr="000E0D83">
        <w:t>Předmět díla je blíže specifikován v přílo</w:t>
      </w:r>
      <w:r w:rsidR="00CB53B1" w:rsidRPr="000E0D83">
        <w:t>ze</w:t>
      </w:r>
      <w:r w:rsidRPr="000E0D83">
        <w:t xml:space="preserve"> </w:t>
      </w:r>
      <w:r w:rsidR="0086114C" w:rsidRPr="000E0D83">
        <w:t>č</w:t>
      </w:r>
      <w:r w:rsidR="000E0D83" w:rsidRPr="000E0D83">
        <w:t xml:space="preserve">. 2 (2.1. – 2.5) </w:t>
      </w:r>
      <w:r w:rsidR="006566F7" w:rsidRPr="000E0D83">
        <w:t>S</w:t>
      </w:r>
      <w:r w:rsidRPr="000E0D83">
        <w:t>mlouvy.</w:t>
      </w:r>
    </w:p>
    <w:p w14:paraId="3E663345" w14:textId="51DCF4CF" w:rsidR="004E1498" w:rsidRPr="000E0D83" w:rsidRDefault="004E1498" w:rsidP="00F1527A">
      <w:pPr>
        <w:pStyle w:val="Nadpis2"/>
        <w:widowControl w:val="0"/>
      </w:pPr>
      <w:r w:rsidRPr="000E0D83">
        <w:lastRenderedPageBreak/>
        <w:t>Předmět díla musí být proveden v souladu s právními předpisy, normami ČSN, technickými normami</w:t>
      </w:r>
      <w:r w:rsidR="000E0D83" w:rsidRPr="000E0D83">
        <w:t xml:space="preserve"> </w:t>
      </w:r>
      <w:r w:rsidR="006566F7" w:rsidRPr="000E0D83">
        <w:t xml:space="preserve">uvedenými v příloze č. </w:t>
      </w:r>
      <w:r w:rsidR="000E0D83" w:rsidRPr="000E0D83">
        <w:t xml:space="preserve">2 (2.1. – 2.5) </w:t>
      </w:r>
      <w:r w:rsidR="006566F7" w:rsidRPr="000E0D83">
        <w:t>S</w:t>
      </w:r>
      <w:r w:rsidRPr="000E0D83">
        <w:t>mlouvy.</w:t>
      </w:r>
    </w:p>
    <w:p w14:paraId="620E778C" w14:textId="1F1354BE" w:rsidR="004E1498" w:rsidRPr="000E0D83" w:rsidRDefault="004E1498" w:rsidP="00F1527A">
      <w:pPr>
        <w:pStyle w:val="Nadpis2"/>
        <w:widowControl w:val="0"/>
      </w:pPr>
      <w:r w:rsidRPr="000E0D83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1C7DDA15" w:rsidR="005740C3" w:rsidRDefault="00810E9B" w:rsidP="00F1527A">
      <w:pPr>
        <w:pStyle w:val="Nadpis2"/>
        <w:widowControl w:val="0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 xml:space="preserve">Kč. </w:t>
      </w:r>
    </w:p>
    <w:p w14:paraId="7979BC31" w14:textId="3B65BE7A" w:rsidR="005740C3" w:rsidRDefault="00810E9B" w:rsidP="00F1527A">
      <w:pPr>
        <w:pStyle w:val="Nadpis2"/>
        <w:widowControl w:val="0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13EC6F11" w14:textId="16F83A2C" w:rsidR="00810E9B" w:rsidRPr="00275474" w:rsidRDefault="00810E9B" w:rsidP="00F1527A">
      <w:pPr>
        <w:pStyle w:val="Nadpis2"/>
        <w:widowControl w:val="0"/>
      </w:pPr>
      <w:r w:rsidRPr="00275474">
        <w:t xml:space="preserve">Cena včetně DPH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36DF1F7F" w14:textId="3F7E6068" w:rsidR="00810E9B" w:rsidRPr="005740C3" w:rsidRDefault="00810E9B" w:rsidP="00586407">
      <w:pPr>
        <w:pStyle w:val="Nadpis2"/>
        <w:widowControl w:val="0"/>
        <w:numPr>
          <w:ilvl w:val="0"/>
          <w:numId w:val="0"/>
        </w:numPr>
        <w:ind w:left="576"/>
        <w:rPr>
          <w:highlight w:val="yellow"/>
        </w:rPr>
      </w:pPr>
    </w:p>
    <w:p w14:paraId="4C4BA06F" w14:textId="77777777" w:rsidR="00586407" w:rsidRPr="000605E3" w:rsidRDefault="00586407" w:rsidP="00586407">
      <w:pPr>
        <w:pStyle w:val="Nadpis2"/>
        <w:jc w:val="left"/>
        <w:rPr>
          <w:b/>
        </w:rPr>
      </w:pPr>
      <w:r w:rsidRPr="000605E3">
        <w:rPr>
          <w:b/>
        </w:rPr>
        <w:t>Fakturace</w:t>
      </w:r>
    </w:p>
    <w:p w14:paraId="3738B203" w14:textId="77777777" w:rsidR="00A1276F" w:rsidRDefault="00586407" w:rsidP="00A1276F">
      <w:pPr>
        <w:pStyle w:val="Nadpis3"/>
      </w:pPr>
      <w:r w:rsidRPr="000605E3">
        <w:t xml:space="preserve">90% z celkové ceny díla bez DPH, tj. </w:t>
      </w:r>
      <w:r w:rsidRPr="00586407">
        <w:rPr>
          <w:highlight w:val="green"/>
        </w:rPr>
        <w:t>…</w:t>
      </w:r>
      <w:proofErr w:type="gramStart"/>
      <w:r w:rsidRPr="00586407">
        <w:rPr>
          <w:highlight w:val="green"/>
        </w:rPr>
        <w:t>…….</w:t>
      </w:r>
      <w:proofErr w:type="gramEnd"/>
      <w:r w:rsidRPr="00586407">
        <w:rPr>
          <w:highlight w:val="green"/>
        </w:rPr>
        <w:t>. Kč bez DPH</w:t>
      </w:r>
      <w:r w:rsidRPr="000605E3">
        <w:t xml:space="preserve"> bude fakturováno</w:t>
      </w:r>
      <w:r w:rsidRPr="00923F20">
        <w:t xml:space="preserve"> na základě faktury vystavené Zhotovitelem, po předání a převzetí</w:t>
      </w:r>
      <w:r w:rsidRPr="000605E3">
        <w:t xml:space="preserve"> prvního dílčího plnění</w:t>
      </w:r>
      <w:r w:rsidRPr="00923F20">
        <w:t xml:space="preserve">, které je </w:t>
      </w:r>
      <w:r w:rsidRPr="000605E3">
        <w:t xml:space="preserve"> uveden</w:t>
      </w:r>
      <w:r w:rsidRPr="00923F20">
        <w:t>o</w:t>
      </w:r>
      <w:r w:rsidRPr="000605E3">
        <w:t xml:space="preserve"> v</w:t>
      </w:r>
      <w:r w:rsidRPr="00923F20">
        <w:t> </w:t>
      </w:r>
      <w:r w:rsidRPr="000605E3">
        <w:t>harmonogramu plnění</w:t>
      </w:r>
      <w:r w:rsidRPr="00923F20">
        <w:t xml:space="preserve"> v</w:t>
      </w:r>
      <w:r w:rsidRPr="000605E3">
        <w:t xml:space="preserve"> příloh</w:t>
      </w:r>
      <w:r w:rsidRPr="00923F20">
        <w:t>ách</w:t>
      </w:r>
      <w:r w:rsidRPr="000605E3">
        <w:t xml:space="preserve"> č. </w:t>
      </w:r>
      <w:r>
        <w:t>2</w:t>
      </w:r>
      <w:r w:rsidRPr="000605E3">
        <w:t>.</w:t>
      </w:r>
      <w:proofErr w:type="gramStart"/>
      <w:r w:rsidRPr="000605E3">
        <w:t xml:space="preserve">1 – </w:t>
      </w:r>
      <w:r>
        <w:t>2</w:t>
      </w:r>
      <w:proofErr w:type="gramEnd"/>
      <w:r w:rsidRPr="000605E3">
        <w:t>.</w:t>
      </w:r>
      <w:r>
        <w:t>5</w:t>
      </w:r>
      <w:r w:rsidRPr="000605E3">
        <w:t xml:space="preserve"> této Smlouvy, a to na základě předávacího protokolu podepsaného oběma Smluvními stranami. </w:t>
      </w:r>
    </w:p>
    <w:p w14:paraId="0C569B45" w14:textId="71E34771" w:rsidR="00586407" w:rsidRPr="00A1276F" w:rsidRDefault="00586407" w:rsidP="00A1276F">
      <w:pPr>
        <w:pStyle w:val="Nadpis4"/>
        <w:spacing w:before="0"/>
        <w:ind w:left="1276" w:hanging="709"/>
        <w:rPr>
          <w:b w:val="0"/>
        </w:rPr>
      </w:pPr>
      <w:r w:rsidRPr="00A1276F">
        <w:rPr>
          <w:b w:val="0"/>
        </w:rPr>
        <w:t xml:space="preserve">Fakturace bude provedena nejpozději do 15.12.2023  </w:t>
      </w:r>
    </w:p>
    <w:p w14:paraId="718F4A7B" w14:textId="543A4BAE" w:rsidR="00586407" w:rsidRPr="000605E3" w:rsidRDefault="00586407" w:rsidP="00A1276F">
      <w:pPr>
        <w:pStyle w:val="Nadpis3"/>
      </w:pPr>
      <w:r>
        <w:t xml:space="preserve">10% z celkové ceny díla bez DPH, tj. </w:t>
      </w:r>
      <w:r w:rsidRPr="00EA6CCB">
        <w:rPr>
          <w:highlight w:val="green"/>
        </w:rPr>
        <w:t>…</w:t>
      </w:r>
      <w:proofErr w:type="gramStart"/>
      <w:r w:rsidRPr="00EA6CCB">
        <w:rPr>
          <w:highlight w:val="green"/>
        </w:rPr>
        <w:t>…….</w:t>
      </w:r>
      <w:proofErr w:type="gramEnd"/>
      <w:r w:rsidRPr="00EA6CCB">
        <w:rPr>
          <w:highlight w:val="green"/>
        </w:rPr>
        <w:t>. Kč bez DPH</w:t>
      </w:r>
      <w:r>
        <w:t xml:space="preserve"> bude fakturováno na základě faktury vystavené Zhotovitelem, po předání a převzetí kompletního díla, na základě předávacího protokolu podepsaného oběma smluvními stranami.</w:t>
      </w:r>
    </w:p>
    <w:p w14:paraId="1AFBED5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1F22568F" w:rsidR="004E1498" w:rsidRPr="00EA6CCB" w:rsidRDefault="004E1498" w:rsidP="009159AE">
      <w:pPr>
        <w:pStyle w:val="Nadpis2"/>
        <w:widowControl w:val="0"/>
        <w:ind w:left="426" w:hanging="426"/>
      </w:pPr>
      <w:r w:rsidRPr="004E1498">
        <w:t xml:space="preserve">Místem plnění </w:t>
      </w:r>
      <w:r w:rsidRPr="00EA6CCB">
        <w:t>je</w:t>
      </w:r>
      <w:r w:rsidR="009159AE">
        <w:t xml:space="preserve"> </w:t>
      </w:r>
      <w:r w:rsidR="00EA6CCB" w:rsidRPr="00EA6CCB">
        <w:t>obvod Správy železniční geodézie v traťových úsecích uvedených v přílohách č. 2.</w:t>
      </w:r>
      <w:proofErr w:type="gramStart"/>
      <w:r w:rsidR="00EA6CCB" w:rsidRPr="00EA6CCB">
        <w:t>1 – 2</w:t>
      </w:r>
      <w:proofErr w:type="gramEnd"/>
      <w:r w:rsidR="00EA6CCB" w:rsidRPr="00EA6CCB">
        <w:t>.5</w:t>
      </w:r>
      <w:r w:rsidR="00EA6CCB">
        <w:t xml:space="preserve"> této Smlouvy.</w:t>
      </w:r>
    </w:p>
    <w:p w14:paraId="624D8729" w14:textId="7F55FA6F" w:rsidR="005740C3" w:rsidRPr="002C01B0" w:rsidRDefault="004E1498" w:rsidP="00F1527A">
      <w:pPr>
        <w:pStyle w:val="Nadpis2"/>
        <w:widowControl w:val="0"/>
      </w:pPr>
      <w:r w:rsidRPr="002C01B0">
        <w:t>Z</w:t>
      </w:r>
      <w:r w:rsidR="005740C3" w:rsidRPr="002C01B0">
        <w:t xml:space="preserve">hotovitel je povinen provést a předat </w:t>
      </w:r>
      <w:r w:rsidRPr="002C01B0">
        <w:t xml:space="preserve">Dílo nejpozději do </w:t>
      </w:r>
      <w:r w:rsidR="002C01B0" w:rsidRPr="002C01B0">
        <w:rPr>
          <w:b/>
        </w:rPr>
        <w:t>30.06.2024</w:t>
      </w:r>
    </w:p>
    <w:p w14:paraId="074963AF" w14:textId="6D64FA4F" w:rsidR="0027137E" w:rsidRPr="0027137E" w:rsidRDefault="0027137E" w:rsidP="0027137E">
      <w:pPr>
        <w:pStyle w:val="Nadpis3"/>
      </w:pPr>
      <w:r>
        <w:t>Zhotovitel je povinen při plnění Předmětu díla dodržovat harmonogram plnění, který je uvedený v přílohách č. 2.</w:t>
      </w:r>
      <w:proofErr w:type="gramStart"/>
      <w:r>
        <w:t>1 – 2</w:t>
      </w:r>
      <w:proofErr w:type="gramEnd"/>
      <w:r>
        <w:t>.5 této Smlouvy.</w:t>
      </w:r>
    </w:p>
    <w:p w14:paraId="4AE0DFE4" w14:textId="406663C0" w:rsidR="004E1498" w:rsidRPr="0027137E" w:rsidRDefault="00CB53B1" w:rsidP="00F1527A">
      <w:pPr>
        <w:pStyle w:val="Nadpis2"/>
        <w:widowControl w:val="0"/>
      </w:pPr>
      <w:r w:rsidRPr="0027137E">
        <w:t>Zhotovitel je povinen zahájit plnění Díla nej</w:t>
      </w:r>
      <w:r w:rsidR="006566F7" w:rsidRPr="0027137E">
        <w:t xml:space="preserve">později do </w:t>
      </w:r>
      <w:r w:rsidR="00EA6CCB" w:rsidRPr="0027137E">
        <w:t>5</w:t>
      </w:r>
      <w:r w:rsidR="006566F7" w:rsidRPr="0027137E">
        <w:t xml:space="preserve"> dnů od účinnosti S</w:t>
      </w:r>
      <w:r w:rsidRPr="0027137E">
        <w:t>mlouvy</w:t>
      </w:r>
      <w:r w:rsidR="00BC4DC9" w:rsidRPr="0027137E">
        <w:t>. V případě, že Zhotovitel nezahájí plnění nejpo</w:t>
      </w:r>
      <w:r w:rsidR="006566F7" w:rsidRPr="0027137E">
        <w:t xml:space="preserve">zději </w:t>
      </w:r>
      <w:r w:rsidR="0003275C">
        <w:t>5</w:t>
      </w:r>
      <w:r w:rsidR="006566F7" w:rsidRPr="0027137E">
        <w:t xml:space="preserve"> den od účinnosti této S</w:t>
      </w:r>
      <w:r w:rsidR="00BC4DC9" w:rsidRPr="0027137E">
        <w:t>mlouvy, je povinen zaplatit Objednateli smluvní pokutu ve výši 50.000,-Kč a Objednatel má právo odstoupit o</w:t>
      </w:r>
      <w:r w:rsidR="006566F7" w:rsidRPr="0027137E">
        <w:t>d této Smlouvy. Odstoupením od S</w:t>
      </w:r>
      <w:r w:rsidR="00BC4DC9" w:rsidRPr="0027137E">
        <w:t>mlouvy nejsou dotčeny další sankce sjed</w:t>
      </w:r>
      <w:r w:rsidR="006566F7" w:rsidRPr="0027137E">
        <w:t>nané v této S</w:t>
      </w:r>
      <w:r w:rsidR="00BC4DC9" w:rsidRPr="0027137E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EA6CCB" w:rsidRDefault="004E1498" w:rsidP="00F1527A">
      <w:pPr>
        <w:pStyle w:val="Nadpis2"/>
        <w:widowControl w:val="0"/>
      </w:pPr>
      <w:r w:rsidRPr="004E1498">
        <w:t xml:space="preserve">Záruční doba činí </w:t>
      </w:r>
      <w:r w:rsidR="00816B59" w:rsidRPr="00EA6CCB">
        <w:t>24 měsíců</w:t>
      </w:r>
      <w:r w:rsidRPr="00EA6CCB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2B8E42" w:rsidR="00FD17C6" w:rsidRPr="00EF7A47" w:rsidRDefault="00FD17C6" w:rsidP="00F1527A">
      <w:pPr>
        <w:pStyle w:val="Nadpis2"/>
        <w:widowControl w:val="0"/>
      </w:pPr>
      <w:r w:rsidRPr="00EF7A47">
        <w:t>Na provedení Díla se budou podílet č</w:t>
      </w:r>
      <w:r w:rsidR="00816B59" w:rsidRPr="00EF7A47">
        <w:t>lenové realizačního týmu uvedení</w:t>
      </w:r>
      <w:r w:rsidR="006566F7" w:rsidRPr="00EF7A47">
        <w:t xml:space="preserve"> v příloze č</w:t>
      </w:r>
      <w:r w:rsidR="00EF7A47" w:rsidRPr="00EF7A47">
        <w:t xml:space="preserve">. 3 </w:t>
      </w:r>
      <w:r w:rsidR="006566F7" w:rsidRPr="00EF7A47">
        <w:t>této S</w:t>
      </w:r>
      <w:r w:rsidRPr="00EF7A47">
        <w:t>mlouvy.</w:t>
      </w:r>
    </w:p>
    <w:p w14:paraId="5BBC90E2" w14:textId="6BB77231" w:rsidR="00FD17C6" w:rsidRPr="00EF7A47" w:rsidRDefault="00FD17C6" w:rsidP="00F1527A">
      <w:pPr>
        <w:pStyle w:val="Nadpis2"/>
        <w:widowControl w:val="0"/>
      </w:pPr>
      <w:r w:rsidRPr="00EF7A47">
        <w:t>Zhotovitel může v průběhu plnění Předmětu díla nahradit některé osoby z osob, uvedených v seznamu realizačního týmu dle přílohy č.</w:t>
      </w:r>
      <w:r w:rsidR="00EF7A47" w:rsidRPr="00EF7A47">
        <w:t xml:space="preserve"> 3</w:t>
      </w:r>
      <w:r w:rsidRPr="00EF7A47">
        <w:t xml:space="preserve"> této </w:t>
      </w:r>
      <w:r w:rsidR="00A605AE" w:rsidRPr="00EF7A47">
        <w:t>S</w:t>
      </w:r>
      <w:r w:rsidRPr="00EF7A47">
        <w:t>mlouvy, pouze po předchozím souhlasu Objednatele na základě písemné žádosti Zhotovitele. V případě, že Zhotovitel požádá o změnu některých členů realizačního týmu uvedeného v příloze č</w:t>
      </w:r>
      <w:r w:rsidR="00EF7A47" w:rsidRPr="00EF7A47">
        <w:t>. 3</w:t>
      </w:r>
      <w:r w:rsidRPr="00EF7A47">
        <w:t xml:space="preserve"> této Smlouvy, musí tato osoba, splňovat kvalifikaci požadovanou </w:t>
      </w:r>
      <w:r w:rsidR="00380260" w:rsidRPr="00EF7A47">
        <w:t>ve Veřejné zakázce</w:t>
      </w:r>
      <w:r w:rsidRPr="00EF7A47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F1527A">
      <w:pPr>
        <w:pStyle w:val="Nadpis2"/>
        <w:widowControl w:val="0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0DEA1728" w:rsidR="004E1498" w:rsidRPr="009B4030" w:rsidRDefault="004E1498" w:rsidP="00F1527A">
      <w:pPr>
        <w:pStyle w:val="Nadpis3"/>
        <w:widowControl w:val="0"/>
        <w:rPr>
          <w:highlight w:val="green"/>
        </w:rPr>
      </w:pPr>
      <w:r w:rsidRPr="009B4030">
        <w:rPr>
          <w:highlight w:val="green"/>
        </w:rPr>
        <w:t xml:space="preserve">za Zhotovitele p.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jc w:val="both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lastRenderedPageBreak/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F1527A">
      <w:pPr>
        <w:pStyle w:val="Nadpis2"/>
        <w:widowControl w:val="0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</w:t>
      </w:r>
      <w:proofErr w:type="gramStart"/>
      <w:r>
        <w:t>sdružené</w:t>
      </w:r>
      <w:proofErr w:type="gramEnd"/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F1527A">
      <w:pPr>
        <w:pStyle w:val="Nadpis2"/>
        <w:widowControl w:val="0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F71AFD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Zvláštní podmínky, na které odkazuje Smlouva o dílo, mají přednost před zněním </w:t>
      </w:r>
      <w:r w:rsidRPr="004E1498">
        <w:lastRenderedPageBreak/>
        <w:t>Obchodních podmínek, Obchodní podmínky se užijí v rozsahu, v jakém nejsou v rozporu s takovými zvláštními podmínkami.</w:t>
      </w:r>
    </w:p>
    <w:p w14:paraId="4C1A93EA" w14:textId="7B569B8B" w:rsidR="004E1498" w:rsidRPr="00F71AFD" w:rsidRDefault="004E1498" w:rsidP="00F1527A">
      <w:pPr>
        <w:pStyle w:val="Nadpis2"/>
        <w:widowControl w:val="0"/>
        <w:ind w:left="567" w:hanging="567"/>
      </w:pPr>
      <w:r w:rsidRPr="00F71AFD">
        <w:rPr>
          <w:rFonts w:eastAsia="Calibri"/>
        </w:rPr>
        <w:t xml:space="preserve">Tato </w:t>
      </w:r>
      <w:r w:rsidR="00D9782E" w:rsidRPr="00F71AFD">
        <w:rPr>
          <w:rFonts w:eastAsia="Calibri"/>
        </w:rPr>
        <w:t>Sml</w:t>
      </w:r>
      <w:r w:rsidRPr="00F71AFD">
        <w:rPr>
          <w:rFonts w:eastAsia="Calibri"/>
        </w:rPr>
        <w:t xml:space="preserve">ouva nabývá platnosti okamžikem podpisu poslední ze </w:t>
      </w:r>
      <w:r w:rsidR="00D9782E" w:rsidRPr="00F71AFD">
        <w:rPr>
          <w:rFonts w:eastAsia="Calibri"/>
        </w:rPr>
        <w:t>Sml</w:t>
      </w:r>
      <w:r w:rsidRPr="00F71AF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F6B238" w14:textId="2BB12FAC" w:rsidR="00315CEB" w:rsidRPr="00F1527A" w:rsidRDefault="00315CEB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1527A">
        <w:rPr>
          <w:rFonts w:eastAsia="Times New Roman" w:cs="Times New Roman"/>
          <w:lang w:eastAsia="cs-CZ"/>
        </w:rPr>
        <w:t>Obchodní podmínky ke Smlouvě o dílo</w:t>
      </w:r>
    </w:p>
    <w:p w14:paraId="132EAB42" w14:textId="530386F3" w:rsidR="006E6E61" w:rsidRPr="00EF7A47" w:rsidRDefault="006E6E61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F7A47">
        <w:rPr>
          <w:rFonts w:eastAsia="Times New Roman" w:cs="Times New Roman"/>
          <w:lang w:eastAsia="cs-CZ"/>
        </w:rPr>
        <w:t>Bližší specifikac</w:t>
      </w:r>
      <w:r w:rsidR="00EF7A47" w:rsidRPr="00EF7A47">
        <w:rPr>
          <w:rFonts w:eastAsia="Times New Roman" w:cs="Times New Roman"/>
          <w:lang w:eastAsia="cs-CZ"/>
        </w:rPr>
        <w:t>e</w:t>
      </w:r>
      <w:r w:rsidR="00EF7A47">
        <w:rPr>
          <w:rFonts w:eastAsia="Times New Roman" w:cs="Times New Roman"/>
          <w:lang w:eastAsia="cs-CZ"/>
        </w:rPr>
        <w:t xml:space="preserve"> (č. 2.</w:t>
      </w:r>
      <w:proofErr w:type="gramStart"/>
      <w:r w:rsidR="00EF7A47">
        <w:rPr>
          <w:rFonts w:eastAsia="Times New Roman" w:cs="Times New Roman"/>
          <w:lang w:eastAsia="cs-CZ"/>
        </w:rPr>
        <w:t>1 – 2</w:t>
      </w:r>
      <w:proofErr w:type="gramEnd"/>
      <w:r w:rsidR="00EF7A47">
        <w:rPr>
          <w:rFonts w:eastAsia="Times New Roman" w:cs="Times New Roman"/>
          <w:lang w:eastAsia="cs-CZ"/>
        </w:rPr>
        <w:t>.5)</w:t>
      </w:r>
    </w:p>
    <w:p w14:paraId="0A8CE3BB" w14:textId="313F7D63" w:rsidR="00EF7A47" w:rsidRPr="00EF7A47" w:rsidRDefault="00EF7A47" w:rsidP="00EF7A47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realizačního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týmu- doplní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 xml:space="preserve"> Zhotovitel</w:t>
      </w:r>
    </w:p>
    <w:p w14:paraId="077D172E" w14:textId="3B94A5E1" w:rsidR="006E6E61" w:rsidRPr="009B4030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3A374A3" w14:textId="68872355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16ED818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4650E99" w14:textId="73EDE36A" w:rsidR="00485910" w:rsidRDefault="00485910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83A3F90" w14:textId="77777777" w:rsidR="00485910" w:rsidRDefault="00485910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bookmarkStart w:id="2" w:name="_GoBack"/>
      <w:bookmarkEnd w:id="2"/>
    </w:p>
    <w:p w14:paraId="75D2B619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FA0D040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761E1C5" w14:textId="77777777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3029D883" w:rsidR="00613238" w:rsidRDefault="00782D03" w:rsidP="00F1527A">
      <w:pPr>
        <w:widowControl w:val="0"/>
        <w:spacing w:after="0" w:line="276" w:lineRule="auto"/>
        <w:rPr>
          <w:rFonts w:asciiTheme="majorHAnsi" w:hAnsiTheme="majorHAnsi"/>
        </w:rPr>
      </w:pPr>
      <w:r w:rsidRPr="00782D03">
        <w:rPr>
          <w:rFonts w:asciiTheme="majorHAnsi" w:hAnsiTheme="majorHAnsi"/>
          <w:b/>
          <w:noProof/>
        </w:rPr>
        <w:t>Ing. Libor Vavrečka</w:t>
      </w:r>
      <w:r w:rsidR="008945EC" w:rsidRPr="00782D03">
        <w:rPr>
          <w:rFonts w:asciiTheme="majorHAnsi" w:hAnsiTheme="majorHAnsi"/>
        </w:rPr>
        <w:tab/>
      </w:r>
      <w:r w:rsidR="008945EC" w:rsidRPr="00782D03">
        <w:rPr>
          <w:rFonts w:asciiTheme="majorHAnsi" w:hAnsiTheme="majorHAnsi"/>
        </w:rPr>
        <w:tab/>
      </w:r>
      <w:r w:rsidR="008945EC" w:rsidRPr="00782D03">
        <w:rPr>
          <w:rFonts w:asciiTheme="majorHAnsi" w:hAnsiTheme="majorHAnsi"/>
        </w:rPr>
        <w:tab/>
      </w:r>
      <w:r w:rsidR="00613238" w:rsidRPr="00782D03">
        <w:rPr>
          <w:rFonts w:asciiTheme="majorHAnsi" w:hAnsiTheme="majorHAnsi"/>
        </w:rPr>
        <w:t xml:space="preserve">  </w:t>
      </w:r>
      <w:r w:rsidR="00613238" w:rsidRPr="00782D03">
        <w:rPr>
          <w:rFonts w:asciiTheme="majorHAnsi" w:hAnsiTheme="majorHAnsi"/>
        </w:rPr>
        <w:tab/>
      </w:r>
      <w:r w:rsidR="00613238" w:rsidRPr="00782D03">
        <w:rPr>
          <w:rFonts w:asciiTheme="majorHAnsi" w:hAnsiTheme="majorHAnsi"/>
        </w:rPr>
        <w:tab/>
      </w:r>
      <w:r w:rsidR="00613238" w:rsidRPr="00266777">
        <w:rPr>
          <w:rFonts w:asciiTheme="majorHAnsi" w:hAnsiTheme="majorHAnsi"/>
          <w:noProof/>
          <w:highlight w:val="green"/>
        </w:rPr>
        <w:t>[</w:t>
      </w:r>
      <w:r w:rsidR="00613238" w:rsidRPr="00266777">
        <w:rPr>
          <w:rFonts w:asciiTheme="majorHAnsi" w:hAnsiTheme="majorHAnsi"/>
          <w:iCs/>
          <w:noProof/>
          <w:highlight w:val="green"/>
        </w:rPr>
        <w:t>DOPLNÍ ZHOTOVITEL</w:t>
      </w:r>
      <w:r w:rsidR="00613238" w:rsidRPr="00266777">
        <w:rPr>
          <w:rFonts w:asciiTheme="majorHAnsi" w:hAnsiTheme="majorHAnsi"/>
          <w:noProof/>
          <w:highlight w:val="green"/>
        </w:rPr>
        <w:t>]</w:t>
      </w:r>
      <w:r w:rsidR="008945EC" w:rsidRPr="00782D03">
        <w:rPr>
          <w:rFonts w:asciiTheme="majorHAnsi" w:hAnsiTheme="majorHAnsi"/>
          <w:noProof/>
        </w:rPr>
        <w:br/>
      </w:r>
      <w:r w:rsidRPr="00782D03">
        <w:rPr>
          <w:rFonts w:asciiTheme="majorHAnsi" w:hAnsiTheme="majorHAnsi"/>
        </w:rPr>
        <w:t>ředitel organizační jednotky</w:t>
      </w:r>
      <w:r w:rsidRPr="00782D03">
        <w:rPr>
          <w:rFonts w:asciiTheme="majorHAnsi" w:hAnsiTheme="majorHAnsi"/>
        </w:rPr>
        <w:br/>
        <w:t>Správa železniční geodézie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3532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1516E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2AA92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FD2FF8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33E8B236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2"/>
  </w:num>
  <w:num w:numId="5">
    <w:abstractNumId w:val="10"/>
  </w:num>
  <w:num w:numId="6">
    <w:abstractNumId w:val="1"/>
  </w:num>
  <w:num w:numId="7">
    <w:abstractNumId w:val="12"/>
  </w:num>
  <w:num w:numId="8">
    <w:abstractNumId w:val="23"/>
  </w:num>
  <w:num w:numId="9">
    <w:abstractNumId w:val="13"/>
  </w:num>
  <w:num w:numId="10">
    <w:abstractNumId w:val="8"/>
  </w:num>
  <w:num w:numId="11">
    <w:abstractNumId w:val="3"/>
  </w:num>
  <w:num w:numId="12">
    <w:abstractNumId w:val="19"/>
  </w:num>
  <w:num w:numId="13">
    <w:abstractNumId w:val="21"/>
  </w:num>
  <w:num w:numId="14">
    <w:abstractNumId w:val="6"/>
  </w:num>
  <w:num w:numId="15">
    <w:abstractNumId w:val="24"/>
  </w:num>
  <w:num w:numId="16">
    <w:abstractNumId w:val="15"/>
  </w:num>
  <w:num w:numId="17">
    <w:abstractNumId w:val="9"/>
  </w:num>
  <w:num w:numId="18">
    <w:abstractNumId w:val="11"/>
  </w:num>
  <w:num w:numId="19">
    <w:abstractNumId w:val="18"/>
  </w:num>
  <w:num w:numId="20">
    <w:abstractNumId w:val="16"/>
  </w:num>
  <w:num w:numId="21">
    <w:abstractNumId w:val="9"/>
  </w:num>
  <w:num w:numId="22">
    <w:abstractNumId w:val="20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275C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0D83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5341D"/>
    <w:rsid w:val="00266777"/>
    <w:rsid w:val="0027137E"/>
    <w:rsid w:val="00275474"/>
    <w:rsid w:val="00280E07"/>
    <w:rsid w:val="0029605F"/>
    <w:rsid w:val="002C01B0"/>
    <w:rsid w:val="002C31BF"/>
    <w:rsid w:val="002D08B1"/>
    <w:rsid w:val="002D6523"/>
    <w:rsid w:val="002E0CD7"/>
    <w:rsid w:val="003013FA"/>
    <w:rsid w:val="003071BD"/>
    <w:rsid w:val="00315CEB"/>
    <w:rsid w:val="00341DCF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5910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86407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53E0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2D03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159AE"/>
    <w:rsid w:val="00922385"/>
    <w:rsid w:val="009223DF"/>
    <w:rsid w:val="009264E8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276F"/>
    <w:rsid w:val="00A157FE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5640E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4ACC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A6CCB"/>
    <w:rsid w:val="00EB104F"/>
    <w:rsid w:val="00EC44FE"/>
    <w:rsid w:val="00ED14BD"/>
    <w:rsid w:val="00EE5EBA"/>
    <w:rsid w:val="00EF1804"/>
    <w:rsid w:val="00EF7A47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9EB"/>
    <w:rsid w:val="00F71AFD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E40F7-BA21-4548-9A89-EFCF5CD6F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AA4AC0-A459-4440-911D-019B952B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2152</Words>
  <Characters>12698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17</cp:revision>
  <cp:lastPrinted>2023-08-01T10:26:00Z</cp:lastPrinted>
  <dcterms:created xsi:type="dcterms:W3CDTF">2023-07-27T05:55:00Z</dcterms:created>
  <dcterms:modified xsi:type="dcterms:W3CDTF">2023-08-01T10:26:00Z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